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DFB3" w14:textId="77777777" w:rsidR="008E27D4" w:rsidRPr="008E27D4" w:rsidRDefault="008E27D4" w:rsidP="00D817FA">
      <w:pPr>
        <w:spacing w:line="276" w:lineRule="auto"/>
        <w:ind w:left="0" w:firstLine="0"/>
        <w:jc w:val="both"/>
        <w:rPr>
          <w:rFonts w:eastAsia="Calibri" w:cs="Tahoma"/>
          <w:b/>
          <w:color w:val="A01E32"/>
          <w:sz w:val="42"/>
          <w:szCs w:val="42"/>
          <w:lang w:val="fr-CH"/>
        </w:rPr>
      </w:pPr>
      <w:r w:rsidRPr="008E27D4">
        <w:rPr>
          <w:rFonts w:eastAsia="Calibri" w:cs="Tahoma"/>
          <w:b/>
          <w:color w:val="A01E32"/>
          <w:sz w:val="42"/>
          <w:szCs w:val="42"/>
          <w:lang w:val="fr-CH"/>
        </w:rPr>
        <w:t>Révision du guide de déclaration – animaux de rente</w:t>
      </w:r>
    </w:p>
    <w:p w14:paraId="7B78A42D" w14:textId="77777777" w:rsidR="008E27D4" w:rsidRPr="008E27D4" w:rsidRDefault="008E27D4" w:rsidP="00D817FA">
      <w:pPr>
        <w:spacing w:line="276" w:lineRule="auto"/>
        <w:ind w:left="0" w:firstLine="0"/>
        <w:jc w:val="both"/>
        <w:rPr>
          <w:rFonts w:eastAsia="Calibri" w:cs="Tahoma"/>
          <w:b/>
          <w:sz w:val="24"/>
          <w:szCs w:val="42"/>
          <w:lang w:val="fr-CH"/>
        </w:rPr>
      </w:pPr>
      <w:r w:rsidRPr="008E27D4">
        <w:rPr>
          <w:rFonts w:eastAsia="Calibri" w:cs="Tahoma"/>
          <w:b/>
          <w:sz w:val="24"/>
          <w:szCs w:val="42"/>
          <w:lang w:val="fr-CH"/>
        </w:rPr>
        <w:t>Guide pour un étiquetage correct des aliments pour animaux</w:t>
      </w:r>
    </w:p>
    <w:p w14:paraId="3FB0C3C2" w14:textId="1F90CC9E" w:rsidR="008E27D4" w:rsidRDefault="008E27D4" w:rsidP="00D817FA">
      <w:pPr>
        <w:spacing w:line="276" w:lineRule="auto"/>
        <w:ind w:left="0" w:firstLine="0"/>
        <w:jc w:val="both"/>
        <w:outlineLvl w:val="0"/>
        <w:rPr>
          <w:rFonts w:eastAsia="Calibri" w:cs="Tahoma"/>
          <w:b/>
          <w:bCs/>
          <w:color w:val="A01E32"/>
          <w:sz w:val="36"/>
          <w:lang w:val="fr-CH"/>
        </w:rPr>
      </w:pPr>
      <w:bookmarkStart w:id="0" w:name="_Toc162435711"/>
      <w:r w:rsidRPr="008E27D4">
        <w:rPr>
          <w:rFonts w:eastAsia="Calibri" w:cs="Tahoma"/>
          <w:b/>
          <w:bCs/>
          <w:color w:val="A01E32"/>
          <w:sz w:val="36"/>
          <w:lang w:val="fr-CH"/>
        </w:rPr>
        <w:t>Introduction</w:t>
      </w:r>
      <w:bookmarkEnd w:id="0"/>
    </w:p>
    <w:p w14:paraId="7B52B587" w14:textId="1619DFD0" w:rsidR="008E27D4" w:rsidRPr="008E27D4" w:rsidRDefault="008E27D4" w:rsidP="00D817FA">
      <w:pPr>
        <w:spacing w:before="240" w:line="276" w:lineRule="auto"/>
        <w:ind w:left="0" w:firstLine="0"/>
        <w:jc w:val="both"/>
        <w:outlineLvl w:val="0"/>
        <w:rPr>
          <w:rFonts w:eastAsia="Calibri" w:cs="Tahoma"/>
          <w:b/>
          <w:sz w:val="20"/>
          <w:lang w:val="x-none"/>
        </w:rPr>
      </w:pPr>
      <w:r w:rsidRPr="008E27D4">
        <w:rPr>
          <w:rFonts w:eastAsia="Calibri" w:cs="Tahoma"/>
          <w:b/>
          <w:sz w:val="20"/>
          <w:lang w:val="x-none"/>
        </w:rPr>
        <w:t>Les aliments pour animaux doivent être étiquetés de manière correcte afin que l'acheteur soit informé avec justesse des caractéristiques et de l'utilité de ces derniers. Les dispositions légales pour l'étiquetage des aliments pour animaux se trouvent dans l'Ordonnance sur les aliments pour animaux (OSALA, RS 916.307) et dans l'Ordonnance sur le Livre des aliments pour animaux (OLALA, RS 916.307.1) ainsi que dans les différentes annexes de</w:t>
      </w:r>
      <w:r w:rsidR="00D817FA">
        <w:rPr>
          <w:rFonts w:eastAsia="Calibri" w:cs="Tahoma"/>
          <w:b/>
          <w:sz w:val="20"/>
          <w:lang w:val="fr-CH"/>
        </w:rPr>
        <w:t xml:space="preserve"> </w:t>
      </w:r>
      <w:r w:rsidRPr="008E27D4">
        <w:rPr>
          <w:rFonts w:eastAsia="Calibri" w:cs="Tahoma"/>
          <w:b/>
          <w:sz w:val="20"/>
          <w:lang w:val="x-none"/>
        </w:rPr>
        <w:t xml:space="preserve">l'OLALA.  </w:t>
      </w:r>
    </w:p>
    <w:p w14:paraId="2F0AE3E5" w14:textId="77777777" w:rsidR="008E27D4" w:rsidRPr="008E27D4" w:rsidRDefault="008E27D4" w:rsidP="00D817FA">
      <w:pPr>
        <w:spacing w:line="276" w:lineRule="auto"/>
        <w:ind w:left="0" w:firstLine="0"/>
        <w:jc w:val="both"/>
        <w:rPr>
          <w:rFonts w:eastAsia="Calibri" w:cs="Tahoma"/>
          <w:b/>
          <w:sz w:val="20"/>
          <w:lang w:val="x-none"/>
        </w:rPr>
      </w:pPr>
    </w:p>
    <w:p w14:paraId="4FD598BD" w14:textId="77777777" w:rsidR="008E27D4" w:rsidRPr="008E27D4" w:rsidRDefault="008E27D4" w:rsidP="00D817FA">
      <w:pPr>
        <w:spacing w:line="276" w:lineRule="auto"/>
        <w:ind w:left="0" w:firstLine="0"/>
        <w:jc w:val="both"/>
        <w:rPr>
          <w:rFonts w:eastAsia="Calibri" w:cs="Tahoma"/>
          <w:b/>
          <w:sz w:val="20"/>
          <w:lang w:val="fr-CH"/>
        </w:rPr>
      </w:pPr>
      <w:r w:rsidRPr="008E27D4">
        <w:rPr>
          <w:rFonts w:eastAsia="Calibri" w:cs="Tahoma"/>
          <w:b/>
          <w:sz w:val="20"/>
          <w:lang w:val="x-none"/>
        </w:rPr>
        <w:t xml:space="preserve">Les exigences particulières sont réparties dans différents articles et annexes. </w:t>
      </w:r>
      <w:r w:rsidRPr="008E27D4">
        <w:rPr>
          <w:rFonts w:eastAsia="Calibri" w:cs="Tahoma"/>
          <w:b/>
          <w:sz w:val="20"/>
          <w:lang w:val="fr-CH"/>
        </w:rPr>
        <w:t>Le guide de déclaration</w:t>
      </w:r>
      <w:r w:rsidRPr="008E27D4">
        <w:rPr>
          <w:rFonts w:eastAsia="Calibri" w:cs="Tahoma"/>
          <w:b/>
          <w:sz w:val="20"/>
          <w:lang w:val="x-none"/>
        </w:rPr>
        <w:t xml:space="preserve"> </w:t>
      </w:r>
      <w:r w:rsidRPr="008E27D4">
        <w:rPr>
          <w:rFonts w:eastAsia="Calibri" w:cs="Tahoma"/>
          <w:b/>
          <w:sz w:val="20"/>
          <w:lang w:val="fr-CH"/>
        </w:rPr>
        <w:t>est une aide</w:t>
      </w:r>
      <w:r w:rsidRPr="008E27D4">
        <w:rPr>
          <w:rFonts w:eastAsia="Calibri" w:cs="Tahoma"/>
          <w:b/>
          <w:sz w:val="20"/>
          <w:lang w:val="x-none"/>
        </w:rPr>
        <w:t xml:space="preserve"> </w:t>
      </w:r>
      <w:bookmarkStart w:id="1" w:name="_Hlk162439465"/>
      <w:r w:rsidRPr="008E27D4">
        <w:rPr>
          <w:rFonts w:eastAsia="Calibri" w:cs="Tahoma"/>
          <w:b/>
          <w:sz w:val="20"/>
          <w:lang w:val="x-none"/>
        </w:rPr>
        <w:t xml:space="preserve">aux entreprises de l'alimentation animale </w:t>
      </w:r>
      <w:bookmarkEnd w:id="1"/>
      <w:r w:rsidRPr="008E27D4">
        <w:rPr>
          <w:rFonts w:eastAsia="Calibri" w:cs="Tahoma"/>
          <w:b/>
          <w:sz w:val="20"/>
          <w:lang w:val="x-none"/>
        </w:rPr>
        <w:t xml:space="preserve">pour un étiquetage des différents aliments pour animaux conforme aux exigences légales en vigueur. </w:t>
      </w:r>
    </w:p>
    <w:p w14:paraId="50516E9D" w14:textId="77777777" w:rsidR="008E27D4" w:rsidRPr="008E27D4" w:rsidRDefault="008E27D4" w:rsidP="00D817FA">
      <w:pPr>
        <w:spacing w:line="276" w:lineRule="auto"/>
        <w:ind w:left="0" w:firstLine="0"/>
        <w:jc w:val="both"/>
        <w:rPr>
          <w:rFonts w:eastAsia="Calibri" w:cs="Tahoma"/>
          <w:b/>
          <w:sz w:val="20"/>
          <w:lang w:val="x-none"/>
        </w:rPr>
      </w:pPr>
    </w:p>
    <w:p w14:paraId="5F0D62B6" w14:textId="385209B8" w:rsidR="008E27D4" w:rsidRPr="008E27D4" w:rsidRDefault="006C7499" w:rsidP="00D817FA">
      <w:pPr>
        <w:tabs>
          <w:tab w:val="left" w:pos="7371"/>
        </w:tabs>
        <w:spacing w:line="276" w:lineRule="auto"/>
        <w:ind w:left="0" w:firstLine="0"/>
        <w:jc w:val="both"/>
        <w:rPr>
          <w:rFonts w:eastAsia="Calibri" w:cs="Tahoma"/>
          <w:sz w:val="20"/>
          <w:lang w:val="fr-CH"/>
        </w:rPr>
      </w:pPr>
      <w:r>
        <w:rPr>
          <w:rFonts w:eastAsia="Calibri" w:cs="Tahoma"/>
          <w:sz w:val="20"/>
          <w:lang w:val="fr-CH"/>
        </w:rPr>
        <w:t>Depuis la publication de l</w:t>
      </w:r>
      <w:r w:rsidR="008E27D4" w:rsidRPr="008E27D4">
        <w:rPr>
          <w:rFonts w:eastAsia="Calibri" w:cs="Tahoma"/>
          <w:sz w:val="20"/>
          <w:lang w:val="fr-CH"/>
        </w:rPr>
        <w:t>a dernière version du guide d’étiquetage en septembre 2016,</w:t>
      </w:r>
      <w:r>
        <w:rPr>
          <w:rFonts w:eastAsia="Calibri" w:cs="Tahoma"/>
          <w:sz w:val="20"/>
          <w:lang w:val="fr-CH"/>
        </w:rPr>
        <w:t xml:space="preserve"> les dispositions de l’OSALA et de l’OLALA ont évolués</w:t>
      </w:r>
      <w:r w:rsidR="008E27D4" w:rsidRPr="008E27D4">
        <w:rPr>
          <w:rFonts w:eastAsia="Calibri" w:cs="Tahoma"/>
          <w:sz w:val="20"/>
          <w:lang w:val="fr-CH"/>
        </w:rPr>
        <w:t xml:space="preserve"> d’où la nécessité de le mettre à jour et de revenir par le biais de cette newsletter sur les principales modifications et les abrogations </w:t>
      </w:r>
      <w:r>
        <w:rPr>
          <w:rFonts w:eastAsia="Calibri" w:cs="Tahoma"/>
          <w:sz w:val="20"/>
          <w:lang w:val="fr-CH"/>
        </w:rPr>
        <w:t>de certains allégements</w:t>
      </w:r>
      <w:r w:rsidR="008E27D4" w:rsidRPr="008E27D4">
        <w:rPr>
          <w:rFonts w:eastAsia="Calibri" w:cs="Tahoma"/>
          <w:sz w:val="20"/>
          <w:lang w:val="fr-CH"/>
        </w:rPr>
        <w:t xml:space="preserve">. </w:t>
      </w:r>
    </w:p>
    <w:p w14:paraId="08781C69" w14:textId="2DE70819" w:rsidR="00293D52" w:rsidRDefault="00293D52" w:rsidP="00D817FA">
      <w:pPr>
        <w:spacing w:line="276" w:lineRule="auto"/>
        <w:ind w:left="0" w:firstLine="0"/>
        <w:rPr>
          <w:lang w:val="fr-CH"/>
        </w:rPr>
      </w:pPr>
    </w:p>
    <w:p w14:paraId="78544394" w14:textId="77777777" w:rsidR="00D817FA" w:rsidRPr="00D817FA" w:rsidRDefault="00D817FA" w:rsidP="00D817FA">
      <w:pPr>
        <w:spacing w:line="276" w:lineRule="auto"/>
        <w:ind w:left="0" w:firstLine="0"/>
        <w:jc w:val="both"/>
        <w:outlineLvl w:val="0"/>
        <w:rPr>
          <w:rFonts w:eastAsia="Calibri" w:cs="Tahoma"/>
          <w:b/>
          <w:bCs/>
          <w:color w:val="A01E32"/>
          <w:sz w:val="36"/>
          <w:lang w:val="fr-CH"/>
        </w:rPr>
      </w:pPr>
      <w:bookmarkStart w:id="2" w:name="_Toc162435712"/>
      <w:r w:rsidRPr="00D817FA">
        <w:rPr>
          <w:rFonts w:eastAsia="Calibri" w:cs="Tahoma"/>
          <w:b/>
          <w:bCs/>
          <w:color w:val="A01E32"/>
          <w:sz w:val="36"/>
          <w:lang w:val="fr-CH"/>
        </w:rPr>
        <w:t>Principales modifications</w:t>
      </w:r>
      <w:bookmarkEnd w:id="2"/>
      <w:r w:rsidRPr="00D817FA">
        <w:rPr>
          <w:rFonts w:eastAsia="Calibri" w:cs="Tahoma"/>
          <w:b/>
          <w:bCs/>
          <w:color w:val="A01E32"/>
          <w:sz w:val="36"/>
          <w:lang w:val="fr-CH"/>
        </w:rPr>
        <w:t xml:space="preserve"> </w:t>
      </w:r>
    </w:p>
    <w:p w14:paraId="53B17B3A" w14:textId="77777777" w:rsidR="00D817FA" w:rsidRPr="00D817FA" w:rsidRDefault="00D817FA" w:rsidP="00D817FA">
      <w:pPr>
        <w:tabs>
          <w:tab w:val="left" w:pos="7371"/>
        </w:tabs>
        <w:spacing w:line="276" w:lineRule="auto"/>
        <w:ind w:left="0" w:firstLine="0"/>
        <w:jc w:val="both"/>
        <w:rPr>
          <w:rFonts w:eastAsia="Calibri" w:cs="Tahoma"/>
          <w:sz w:val="20"/>
          <w:lang w:val="fr-CH"/>
        </w:rPr>
      </w:pPr>
      <w:r w:rsidRPr="00D817FA">
        <w:rPr>
          <w:rFonts w:eastAsia="Calibri" w:cs="Tahoma"/>
          <w:sz w:val="20"/>
          <w:lang w:val="fr-CH"/>
        </w:rPr>
        <w:t xml:space="preserve">Les principales modifications reposent sur un esprit de clarté et de simplification du guide d’étiquetage. Par ailleurs les références légales ont été ajoutées systématiquement pour une facilité d’utilisation. </w:t>
      </w:r>
    </w:p>
    <w:p w14:paraId="5AD140A7" w14:textId="3E4BB233" w:rsidR="00D817FA" w:rsidRPr="00D817FA" w:rsidRDefault="00D817FA" w:rsidP="00D817FA">
      <w:pPr>
        <w:tabs>
          <w:tab w:val="left" w:pos="7371"/>
        </w:tabs>
        <w:spacing w:line="276" w:lineRule="auto"/>
        <w:ind w:left="0" w:firstLine="0"/>
        <w:jc w:val="both"/>
        <w:rPr>
          <w:rFonts w:eastAsia="Calibri" w:cs="Tahoma"/>
          <w:sz w:val="20"/>
          <w:lang w:val="fr-CH"/>
        </w:rPr>
      </w:pPr>
      <w:r w:rsidRPr="00D817FA">
        <w:rPr>
          <w:rFonts w:eastAsia="Calibri" w:cs="Tahoma"/>
          <w:sz w:val="20"/>
          <w:lang w:val="fr-CH"/>
        </w:rPr>
        <w:t xml:space="preserve">Les différents exemples ont été travaillés en conséquence des dernières modifications </w:t>
      </w:r>
      <w:r w:rsidR="006C7499">
        <w:rPr>
          <w:rFonts w:eastAsia="Calibri" w:cs="Tahoma"/>
          <w:sz w:val="20"/>
          <w:lang w:val="fr-CH"/>
        </w:rPr>
        <w:t>législatives</w:t>
      </w:r>
      <w:r w:rsidRPr="00D817FA">
        <w:rPr>
          <w:rFonts w:eastAsia="Calibri" w:cs="Tahoma"/>
          <w:sz w:val="20"/>
          <w:lang w:val="fr-CH"/>
        </w:rPr>
        <w:t xml:space="preserve">.  </w:t>
      </w:r>
    </w:p>
    <w:p w14:paraId="28AA25AE" w14:textId="77777777" w:rsidR="00D817FA" w:rsidRPr="00D817FA" w:rsidRDefault="00D817FA" w:rsidP="00D817FA">
      <w:pPr>
        <w:tabs>
          <w:tab w:val="left" w:pos="7371"/>
        </w:tabs>
        <w:spacing w:line="276" w:lineRule="auto"/>
        <w:ind w:left="0" w:firstLine="0"/>
        <w:jc w:val="both"/>
        <w:rPr>
          <w:rFonts w:eastAsia="Calibri" w:cs="Tahoma"/>
          <w:sz w:val="20"/>
          <w:lang w:val="fr-CH"/>
        </w:rPr>
      </w:pPr>
    </w:p>
    <w:p w14:paraId="227443FA" w14:textId="77777777" w:rsidR="00D817FA" w:rsidRPr="00D817FA" w:rsidRDefault="00D817FA" w:rsidP="00D817FA">
      <w:pPr>
        <w:spacing w:line="276" w:lineRule="auto"/>
        <w:ind w:left="0" w:firstLine="0"/>
        <w:jc w:val="both"/>
        <w:outlineLvl w:val="1"/>
        <w:rPr>
          <w:rFonts w:eastAsia="Calibri" w:cs="Tahoma"/>
          <w:b/>
          <w:color w:val="A01E32"/>
          <w:sz w:val="24"/>
          <w:lang w:val="fr-CH"/>
        </w:rPr>
      </w:pPr>
      <w:r w:rsidRPr="00D817FA">
        <w:rPr>
          <w:rFonts w:eastAsia="Calibri" w:cs="Tahoma"/>
          <w:b/>
          <w:color w:val="A01E32"/>
          <w:sz w:val="24"/>
          <w:lang w:val="fr-CH"/>
        </w:rPr>
        <w:t xml:space="preserve">Définitions </w:t>
      </w:r>
    </w:p>
    <w:p w14:paraId="61609766" w14:textId="0320B363" w:rsidR="00D817FA" w:rsidRPr="00D817FA" w:rsidRDefault="00D817FA" w:rsidP="00D817FA">
      <w:pPr>
        <w:tabs>
          <w:tab w:val="left" w:pos="7371"/>
        </w:tabs>
        <w:spacing w:line="276" w:lineRule="auto"/>
        <w:ind w:left="0" w:firstLine="0"/>
        <w:jc w:val="both"/>
        <w:rPr>
          <w:rFonts w:eastAsia="Calibri" w:cs="Tahoma"/>
          <w:sz w:val="20"/>
          <w:lang w:val="fr-CH"/>
        </w:rPr>
      </w:pPr>
      <w:r w:rsidRPr="00D817FA">
        <w:rPr>
          <w:rFonts w:eastAsia="Calibri" w:cs="Tahoma"/>
          <w:sz w:val="20"/>
          <w:lang w:val="fr-CH"/>
        </w:rPr>
        <w:t xml:space="preserve">Par soucis d’harmonisation, le vocabulaire du « guide de déclaration » a été adapté avec les définitions reprises </w:t>
      </w:r>
      <w:r w:rsidR="006C7499">
        <w:rPr>
          <w:rFonts w:eastAsia="Calibri" w:cs="Tahoma"/>
          <w:sz w:val="20"/>
          <w:lang w:val="fr-CH"/>
        </w:rPr>
        <w:t>de</w:t>
      </w:r>
      <w:r w:rsidR="006C7499" w:rsidRPr="00D817FA">
        <w:rPr>
          <w:rFonts w:eastAsia="Calibri" w:cs="Tahoma"/>
          <w:sz w:val="20"/>
          <w:lang w:val="fr-CH"/>
        </w:rPr>
        <w:t xml:space="preserve"> </w:t>
      </w:r>
      <w:r w:rsidRPr="00D817FA">
        <w:rPr>
          <w:rFonts w:eastAsia="Calibri" w:cs="Tahoma"/>
          <w:sz w:val="20"/>
          <w:lang w:val="fr-CH"/>
        </w:rPr>
        <w:t xml:space="preserve">l’art. 3 OSALA. </w:t>
      </w:r>
      <w:r w:rsidR="006C7499">
        <w:rPr>
          <w:rFonts w:eastAsia="Calibri" w:cs="Tahoma"/>
          <w:sz w:val="20"/>
          <w:lang w:val="fr-CH"/>
        </w:rPr>
        <w:t>L</w:t>
      </w:r>
      <w:r w:rsidRPr="00D817FA">
        <w:rPr>
          <w:rFonts w:eastAsia="Calibri" w:cs="Tahoma"/>
          <w:sz w:val="20"/>
          <w:lang w:val="fr-CH"/>
        </w:rPr>
        <w:t xml:space="preserve">e terme « déclaration » est remplacé par le terme « étiquetage » (art. 3, al. 3, let. b, OSALA) ou « présentation » (art. 3, al. 3, let. f, OSALA). Il est à </w:t>
      </w:r>
      <w:r w:rsidR="006C7499">
        <w:rPr>
          <w:rFonts w:eastAsia="Calibri" w:cs="Tahoma"/>
          <w:sz w:val="20"/>
          <w:lang w:val="fr-CH"/>
        </w:rPr>
        <w:t>relever</w:t>
      </w:r>
      <w:r w:rsidR="006C7499" w:rsidRPr="00D817FA">
        <w:rPr>
          <w:rFonts w:eastAsia="Calibri" w:cs="Tahoma"/>
          <w:sz w:val="20"/>
          <w:lang w:val="fr-CH"/>
        </w:rPr>
        <w:t xml:space="preserve"> </w:t>
      </w:r>
      <w:r w:rsidRPr="00D817FA">
        <w:rPr>
          <w:rFonts w:eastAsia="Calibri" w:cs="Tahoma"/>
          <w:sz w:val="20"/>
          <w:lang w:val="fr-CH"/>
        </w:rPr>
        <w:t xml:space="preserve">que le terme </w:t>
      </w:r>
      <w:r w:rsidRPr="00D817FA">
        <w:rPr>
          <w:rFonts w:eastAsia="Calibri" w:cs="Tahoma"/>
          <w:i/>
          <w:iCs/>
          <w:sz w:val="20"/>
          <w:lang w:val="fr-CH"/>
        </w:rPr>
        <w:t>déclaration</w:t>
      </w:r>
      <w:r w:rsidRPr="00D817FA">
        <w:rPr>
          <w:rFonts w:eastAsia="Calibri" w:cs="Tahoma"/>
          <w:sz w:val="20"/>
          <w:lang w:val="fr-CH"/>
        </w:rPr>
        <w:t xml:space="preserve"> n’est pas repris dans les définitions de l’OSALA. Il en</w:t>
      </w:r>
      <w:r w:rsidR="006C7499">
        <w:rPr>
          <w:rFonts w:eastAsia="Calibri" w:cs="Tahoma"/>
          <w:sz w:val="20"/>
          <w:lang w:val="fr-CH"/>
        </w:rPr>
        <w:t xml:space="preserve"> découle</w:t>
      </w:r>
      <w:r w:rsidRPr="00D817FA">
        <w:rPr>
          <w:rFonts w:eastAsia="Calibri" w:cs="Tahoma"/>
          <w:sz w:val="20"/>
          <w:lang w:val="fr-CH"/>
        </w:rPr>
        <w:t xml:space="preserve"> que le </w:t>
      </w:r>
      <w:r w:rsidRPr="00D817FA">
        <w:rPr>
          <w:rFonts w:eastAsia="Calibri" w:cs="Tahoma"/>
          <w:i/>
          <w:iCs/>
          <w:sz w:val="20"/>
          <w:lang w:val="fr-CH"/>
        </w:rPr>
        <w:t>guide de déclaration</w:t>
      </w:r>
      <w:r w:rsidRPr="00D817FA">
        <w:rPr>
          <w:rFonts w:eastAsia="Calibri" w:cs="Tahoma"/>
          <w:sz w:val="20"/>
          <w:lang w:val="fr-CH"/>
        </w:rPr>
        <w:t xml:space="preserve"> porte nouvellement le nom de « Présentation des aliments pour animaux de rente :</w:t>
      </w:r>
      <w:r w:rsidRPr="00D817FA">
        <w:rPr>
          <w:rFonts w:eastAsia="Calibri" w:cs="Tahoma"/>
          <w:sz w:val="20"/>
          <w:lang w:val="x-none"/>
        </w:rPr>
        <w:t xml:space="preserve"> </w:t>
      </w:r>
      <w:r w:rsidRPr="00D817FA">
        <w:rPr>
          <w:rFonts w:eastAsia="Calibri" w:cs="Tahoma"/>
          <w:sz w:val="20"/>
          <w:lang w:val="fr-CH"/>
        </w:rPr>
        <w:t xml:space="preserve">Guide pour un étiquetage correct des aliments pour animaux ». </w:t>
      </w:r>
    </w:p>
    <w:p w14:paraId="519D0C21" w14:textId="77777777" w:rsidR="00D817FA" w:rsidRPr="00D817FA" w:rsidRDefault="00D817FA" w:rsidP="00D817FA">
      <w:pPr>
        <w:spacing w:line="276" w:lineRule="auto"/>
        <w:ind w:left="0" w:firstLine="0"/>
        <w:jc w:val="both"/>
        <w:rPr>
          <w:rFonts w:eastAsia="Calibri" w:cs="Times New Roman"/>
          <w:sz w:val="18"/>
          <w:lang w:val="fr-CH"/>
        </w:rPr>
      </w:pPr>
    </w:p>
    <w:p w14:paraId="10E7334B" w14:textId="77777777" w:rsidR="00D817FA" w:rsidRPr="00D817FA" w:rsidRDefault="00D817FA" w:rsidP="00D817FA">
      <w:pPr>
        <w:spacing w:line="276" w:lineRule="auto"/>
        <w:ind w:left="0" w:firstLine="0"/>
        <w:jc w:val="both"/>
        <w:outlineLvl w:val="1"/>
        <w:rPr>
          <w:rFonts w:eastAsia="Calibri" w:cs="Tahoma"/>
          <w:b/>
          <w:color w:val="A01E32"/>
          <w:sz w:val="24"/>
          <w:lang w:val="fr-CH"/>
        </w:rPr>
      </w:pPr>
      <w:r w:rsidRPr="00D817FA">
        <w:rPr>
          <w:rFonts w:eastAsia="Calibri" w:cs="Tahoma"/>
          <w:b/>
          <w:color w:val="A01E32"/>
          <w:sz w:val="24"/>
          <w:lang w:val="fr-CH"/>
        </w:rPr>
        <w:t>Table des matières</w:t>
      </w:r>
    </w:p>
    <w:p w14:paraId="10A78DE7" w14:textId="188EA20D" w:rsidR="00D817FA" w:rsidRPr="00D817FA" w:rsidRDefault="00D817FA" w:rsidP="00D817FA">
      <w:pPr>
        <w:tabs>
          <w:tab w:val="left" w:pos="7371"/>
        </w:tabs>
        <w:spacing w:line="276" w:lineRule="auto"/>
        <w:ind w:left="0" w:firstLine="0"/>
        <w:jc w:val="both"/>
        <w:rPr>
          <w:rFonts w:eastAsia="Calibri" w:cs="Tahoma"/>
          <w:sz w:val="20"/>
          <w:lang w:val="fr-CH"/>
        </w:rPr>
      </w:pPr>
      <w:r w:rsidRPr="00D817FA">
        <w:rPr>
          <w:rFonts w:eastAsia="Calibri" w:cs="Tahoma"/>
          <w:sz w:val="20"/>
          <w:lang w:val="fr-CH"/>
        </w:rPr>
        <w:t xml:space="preserve">Le contenu des chapitres a été réarrangé par soucis de clarté. Le sommaire est modifié par rapport à la version de 2016. En particulier un nouveau chapitre spécialement dédié à l’étiquetage des additifs dans les matières premières et aliments composés et des prémélanges a été </w:t>
      </w:r>
      <w:r w:rsidR="001042BF">
        <w:rPr>
          <w:rFonts w:eastAsia="Calibri" w:cs="Tahoma"/>
          <w:sz w:val="20"/>
          <w:lang w:val="fr-CH"/>
        </w:rPr>
        <w:t>ajouté</w:t>
      </w:r>
      <w:r w:rsidRPr="00D817FA">
        <w:rPr>
          <w:rFonts w:eastAsia="Calibri" w:cs="Tahoma"/>
          <w:sz w:val="20"/>
          <w:lang w:val="fr-CH"/>
        </w:rPr>
        <w:t xml:space="preserve">. </w:t>
      </w:r>
    </w:p>
    <w:p w14:paraId="06FB9F9A" w14:textId="77777777" w:rsidR="00D817FA" w:rsidRPr="00D817FA" w:rsidRDefault="00D817FA" w:rsidP="00D817FA">
      <w:pPr>
        <w:tabs>
          <w:tab w:val="left" w:pos="7371"/>
        </w:tabs>
        <w:spacing w:line="276" w:lineRule="auto"/>
        <w:ind w:left="0" w:firstLine="0"/>
        <w:jc w:val="both"/>
        <w:rPr>
          <w:rFonts w:eastAsia="Calibri" w:cs="Tahoma"/>
          <w:sz w:val="20"/>
          <w:lang w:val="fr-CH"/>
        </w:rPr>
      </w:pPr>
      <w:r w:rsidRPr="00D817FA">
        <w:rPr>
          <w:rFonts w:eastAsia="Calibri" w:cs="Tahoma"/>
          <w:sz w:val="20"/>
          <w:lang w:val="fr-CH"/>
        </w:rPr>
        <w:t xml:space="preserve">Le chapitre 8 « particularités d’étiquetage » a été entièrement retravaillé selon les derniers changements de la législation (voir aussi ch. « Abrogations et délais transitoires »).  </w:t>
      </w:r>
    </w:p>
    <w:p w14:paraId="7E2691C3" w14:textId="77777777" w:rsidR="00D817FA" w:rsidRPr="00D817FA" w:rsidRDefault="00D817FA" w:rsidP="00D817FA">
      <w:pPr>
        <w:tabs>
          <w:tab w:val="left" w:pos="7371"/>
        </w:tabs>
        <w:spacing w:line="276" w:lineRule="auto"/>
        <w:ind w:left="0" w:firstLine="0"/>
        <w:jc w:val="both"/>
        <w:rPr>
          <w:rFonts w:eastAsia="Calibri" w:cs="Tahoma"/>
          <w:sz w:val="20"/>
          <w:lang w:val="fr-CH"/>
        </w:rPr>
      </w:pPr>
    </w:p>
    <w:p w14:paraId="28B2D63C" w14:textId="77777777" w:rsidR="00D817FA" w:rsidRPr="00D817FA" w:rsidRDefault="00D817FA" w:rsidP="00D817FA">
      <w:pPr>
        <w:spacing w:line="276" w:lineRule="auto"/>
        <w:ind w:left="0" w:firstLine="0"/>
        <w:jc w:val="both"/>
        <w:outlineLvl w:val="1"/>
        <w:rPr>
          <w:rFonts w:eastAsia="Calibri" w:cs="Tahoma"/>
          <w:b/>
          <w:color w:val="A01E32"/>
          <w:sz w:val="24"/>
          <w:lang w:val="fr-CH"/>
        </w:rPr>
      </w:pPr>
      <w:r w:rsidRPr="00D817FA">
        <w:rPr>
          <w:rFonts w:eastAsia="Calibri" w:cs="Tahoma"/>
          <w:b/>
          <w:color w:val="A01E32"/>
          <w:sz w:val="24"/>
          <w:lang w:val="fr-CH"/>
        </w:rPr>
        <w:t xml:space="preserve">Chapitre 7 : Etiquetage des additifs et des prémélanges </w:t>
      </w:r>
    </w:p>
    <w:p w14:paraId="6FD180F4" w14:textId="77777777" w:rsidR="00D817FA" w:rsidRPr="00D817FA" w:rsidRDefault="00D817FA" w:rsidP="00D817FA">
      <w:pPr>
        <w:spacing w:line="276" w:lineRule="auto"/>
        <w:ind w:left="0" w:firstLine="0"/>
        <w:jc w:val="both"/>
        <w:rPr>
          <w:rFonts w:eastAsia="Calibri" w:cs="Times New Roman"/>
          <w:sz w:val="20"/>
          <w:szCs w:val="24"/>
          <w:lang w:val="fr-CH"/>
        </w:rPr>
      </w:pPr>
      <w:r w:rsidRPr="00D817FA">
        <w:rPr>
          <w:rFonts w:eastAsia="Calibri" w:cs="Times New Roman"/>
          <w:sz w:val="20"/>
          <w:szCs w:val="24"/>
          <w:lang w:val="fr-CH"/>
        </w:rPr>
        <w:t xml:space="preserve">Ce chapitre contenait uniquement les prescriptions d’étiquetage des prémélanges. Toutes les dispositions relatives à l’étiquetage et à la présentation des additifs dans les matières premières et aliments composés ont été regroupées dans ce chapitre. </w:t>
      </w:r>
    </w:p>
    <w:p w14:paraId="534D0394" w14:textId="77777777" w:rsidR="00D817FA" w:rsidRPr="00D817FA" w:rsidRDefault="00D817FA" w:rsidP="00D817FA">
      <w:pPr>
        <w:spacing w:before="240" w:line="276" w:lineRule="auto"/>
        <w:ind w:left="0" w:firstLine="0"/>
        <w:jc w:val="both"/>
        <w:outlineLvl w:val="1"/>
        <w:rPr>
          <w:rFonts w:eastAsia="Calibri" w:cs="Tahoma"/>
          <w:b/>
          <w:color w:val="A01E32"/>
          <w:sz w:val="24"/>
          <w:lang w:val="fr-CH"/>
        </w:rPr>
      </w:pPr>
      <w:r w:rsidRPr="00D817FA">
        <w:rPr>
          <w:rFonts w:eastAsia="Calibri" w:cs="Tahoma"/>
          <w:b/>
          <w:color w:val="A01E32"/>
          <w:sz w:val="24"/>
          <w:lang w:val="fr-CH"/>
        </w:rPr>
        <w:t xml:space="preserve">Chapitre 8 : Particularités d’étiquetage </w:t>
      </w:r>
    </w:p>
    <w:p w14:paraId="4C8F372E" w14:textId="77777777" w:rsidR="00D817FA" w:rsidRPr="00D817FA" w:rsidRDefault="00D817FA" w:rsidP="00D817FA">
      <w:pPr>
        <w:spacing w:line="276" w:lineRule="auto"/>
        <w:ind w:left="0" w:firstLine="0"/>
        <w:jc w:val="both"/>
        <w:outlineLvl w:val="1"/>
        <w:rPr>
          <w:rFonts w:eastAsia="Calibri" w:cs="Tahoma"/>
          <w:b/>
          <w:color w:val="A01E32"/>
          <w:sz w:val="20"/>
          <w:szCs w:val="18"/>
          <w:lang w:val="fr-CH"/>
        </w:rPr>
      </w:pPr>
      <w:r w:rsidRPr="00D817FA">
        <w:rPr>
          <w:rFonts w:eastAsia="Calibri" w:cs="Tahoma"/>
          <w:b/>
          <w:color w:val="A01E32"/>
          <w:sz w:val="20"/>
          <w:szCs w:val="18"/>
          <w:lang w:val="fr-CH"/>
        </w:rPr>
        <w:t xml:space="preserve">Prescriptions particulières pour les teneurs en additifs (OLALA art. 1, al. 1) </w:t>
      </w:r>
    </w:p>
    <w:p w14:paraId="2D44C790" w14:textId="77777777" w:rsidR="00D817FA" w:rsidRPr="00D817FA" w:rsidRDefault="00D817FA" w:rsidP="00D817FA">
      <w:pPr>
        <w:spacing w:line="276" w:lineRule="auto"/>
        <w:ind w:left="0" w:firstLine="0"/>
        <w:jc w:val="both"/>
        <w:rPr>
          <w:rFonts w:eastAsia="Calibri" w:cs="Times New Roman"/>
          <w:sz w:val="20"/>
          <w:szCs w:val="24"/>
          <w:lang w:val="fr-CH"/>
        </w:rPr>
      </w:pPr>
      <w:r w:rsidRPr="00D817FA">
        <w:rPr>
          <w:rFonts w:eastAsia="Calibri" w:cs="Times New Roman"/>
          <w:sz w:val="20"/>
          <w:szCs w:val="24"/>
          <w:lang w:val="fr-CH"/>
        </w:rPr>
        <w:t xml:space="preserve">Les prescriptions particulières concernant les teneurs en additifs telles que définies à l’art. 4, al. 1 OLALA dans les matières premières et les aliments complémentaires pour animaux étaient reprises au chapitre 8 sous forme d’exemple. Cette remarque a été reprise dans le chapitre 7 concernant les additifs. </w:t>
      </w:r>
    </w:p>
    <w:p w14:paraId="42A8AFB6" w14:textId="77777777" w:rsidR="00D817FA" w:rsidRPr="00D817FA" w:rsidRDefault="00D817FA" w:rsidP="00D817FA">
      <w:pPr>
        <w:spacing w:line="276" w:lineRule="auto"/>
        <w:ind w:left="0" w:firstLine="0"/>
        <w:jc w:val="both"/>
        <w:rPr>
          <w:rFonts w:eastAsia="Calibri" w:cs="Times New Roman"/>
          <w:sz w:val="20"/>
          <w:szCs w:val="24"/>
          <w:lang w:val="fr-CH"/>
        </w:rPr>
      </w:pPr>
    </w:p>
    <w:p w14:paraId="5C69AF22" w14:textId="77777777" w:rsidR="00D817FA" w:rsidRPr="00D817FA" w:rsidRDefault="00D817FA" w:rsidP="00D817FA">
      <w:pPr>
        <w:numPr>
          <w:ilvl w:val="0"/>
          <w:numId w:val="1"/>
        </w:numPr>
        <w:spacing w:line="276" w:lineRule="auto"/>
        <w:contextualSpacing/>
        <w:jc w:val="both"/>
        <w:rPr>
          <w:rFonts w:eastAsia="Calibri" w:cs="Times New Roman"/>
          <w:sz w:val="20"/>
          <w:szCs w:val="24"/>
          <w:lang w:val="fr-CH"/>
        </w:rPr>
      </w:pPr>
      <w:r w:rsidRPr="00D817FA">
        <w:rPr>
          <w:rFonts w:eastAsia="Calibri" w:cs="Times New Roman"/>
          <w:sz w:val="20"/>
          <w:szCs w:val="24"/>
          <w:lang w:val="fr-CH"/>
        </w:rPr>
        <w:t xml:space="preserve">La teneur maximale par kg de ration journalière fixée dans l’annexe 2 OLALA doit toujours être respectée.  </w:t>
      </w:r>
    </w:p>
    <w:p w14:paraId="5D709945" w14:textId="77777777" w:rsidR="00D817FA" w:rsidRPr="00D817FA" w:rsidRDefault="00D817FA" w:rsidP="00D817FA">
      <w:pPr>
        <w:spacing w:before="240" w:line="276" w:lineRule="auto"/>
        <w:ind w:left="0" w:firstLine="0"/>
        <w:jc w:val="both"/>
        <w:outlineLvl w:val="1"/>
        <w:rPr>
          <w:rFonts w:eastAsia="Calibri" w:cs="Tahoma"/>
          <w:b/>
          <w:color w:val="A01E32"/>
          <w:sz w:val="20"/>
          <w:szCs w:val="18"/>
          <w:lang w:val="fr-CH"/>
        </w:rPr>
      </w:pPr>
      <w:r w:rsidRPr="00D817FA">
        <w:rPr>
          <w:rFonts w:eastAsia="Calibri" w:cs="Tahoma"/>
          <w:b/>
          <w:color w:val="A01E32"/>
          <w:sz w:val="20"/>
          <w:szCs w:val="18"/>
          <w:lang w:val="fr-CH"/>
        </w:rPr>
        <w:t xml:space="preserve">Nom de marque et mise en valeur </w:t>
      </w:r>
    </w:p>
    <w:p w14:paraId="43B4D7D0" w14:textId="77777777" w:rsidR="00D817FA" w:rsidRPr="00D817FA" w:rsidRDefault="00D817FA" w:rsidP="00D817FA">
      <w:pPr>
        <w:spacing w:line="276" w:lineRule="auto"/>
        <w:ind w:left="0" w:firstLine="0"/>
        <w:jc w:val="both"/>
        <w:rPr>
          <w:rFonts w:eastAsia="Calibri" w:cs="Times New Roman"/>
          <w:sz w:val="20"/>
          <w:szCs w:val="24"/>
          <w:lang w:val="fr-CH"/>
        </w:rPr>
      </w:pPr>
      <w:r w:rsidRPr="00D817FA">
        <w:rPr>
          <w:rFonts w:eastAsia="Calibri" w:cs="Times New Roman"/>
          <w:sz w:val="20"/>
          <w:szCs w:val="24"/>
          <w:lang w:val="fr-CH"/>
        </w:rPr>
        <w:t>Les noms de marque ne sont ni des matières premières, ni des additifs. Ils sont tolérés à bien plaire sous réserve que les composants (matières premières ou additifs) soient également indiqués correctement dans leur rubrique respective.</w:t>
      </w:r>
    </w:p>
    <w:p w14:paraId="0BC8280C" w14:textId="77777777" w:rsidR="00D817FA" w:rsidRPr="00D817FA" w:rsidRDefault="00D817FA" w:rsidP="00D817FA">
      <w:pPr>
        <w:spacing w:line="276" w:lineRule="auto"/>
        <w:ind w:left="0" w:firstLine="0"/>
        <w:jc w:val="both"/>
        <w:rPr>
          <w:rFonts w:eastAsia="Calibri" w:cs="Times New Roman"/>
          <w:sz w:val="20"/>
          <w:szCs w:val="24"/>
          <w:lang w:val="fr-CH"/>
        </w:rPr>
      </w:pPr>
    </w:p>
    <w:p w14:paraId="18B513E7" w14:textId="77777777" w:rsidR="00D817FA" w:rsidRPr="00D817FA" w:rsidRDefault="00D817FA" w:rsidP="00D817FA">
      <w:pPr>
        <w:numPr>
          <w:ilvl w:val="0"/>
          <w:numId w:val="1"/>
        </w:numPr>
        <w:spacing w:line="276" w:lineRule="auto"/>
        <w:contextualSpacing/>
        <w:jc w:val="both"/>
        <w:rPr>
          <w:rFonts w:eastAsia="Calibri" w:cs="Times New Roman"/>
          <w:sz w:val="20"/>
          <w:szCs w:val="24"/>
          <w:lang w:val="fr-CH"/>
        </w:rPr>
      </w:pPr>
      <w:r w:rsidRPr="00D817FA">
        <w:rPr>
          <w:rFonts w:eastAsia="Calibri" w:cs="Times New Roman"/>
          <w:sz w:val="20"/>
          <w:szCs w:val="24"/>
          <w:lang w:val="fr-CH"/>
        </w:rPr>
        <w:t xml:space="preserve">L’indication d’un nom de marque sur une étiquette est considérée comme une mise en valeur. Par conséquent les matières premières ainsi que les additifs, contenus dans l’aliment, mis en valeur via son nom de marque doivent être étiquetés selon la législation en vigueur. </w:t>
      </w:r>
    </w:p>
    <w:p w14:paraId="75C93997" w14:textId="77777777" w:rsidR="00D817FA" w:rsidRPr="00D817FA" w:rsidRDefault="00D817FA" w:rsidP="00D817FA">
      <w:pPr>
        <w:spacing w:line="276" w:lineRule="auto"/>
        <w:ind w:left="720" w:firstLine="0"/>
        <w:contextualSpacing/>
        <w:jc w:val="both"/>
        <w:rPr>
          <w:rFonts w:eastAsia="Calibri" w:cs="Times New Roman"/>
          <w:sz w:val="20"/>
          <w:szCs w:val="24"/>
          <w:lang w:val="fr-CH"/>
        </w:rPr>
      </w:pPr>
    </w:p>
    <w:p w14:paraId="43B34A4B" w14:textId="77777777" w:rsidR="00D817FA" w:rsidRPr="00D817FA" w:rsidRDefault="00D817FA" w:rsidP="00D817FA">
      <w:pPr>
        <w:spacing w:line="276" w:lineRule="auto"/>
        <w:ind w:left="0" w:firstLine="0"/>
        <w:jc w:val="both"/>
        <w:outlineLvl w:val="1"/>
        <w:rPr>
          <w:rFonts w:eastAsia="Calibri" w:cs="Tahoma"/>
          <w:b/>
          <w:color w:val="A01E32"/>
          <w:sz w:val="20"/>
          <w:szCs w:val="18"/>
          <w:lang w:val="fr-CH"/>
        </w:rPr>
      </w:pPr>
      <w:r w:rsidRPr="00D817FA">
        <w:rPr>
          <w:rFonts w:eastAsia="Calibri" w:cs="Tahoma"/>
          <w:b/>
          <w:color w:val="A01E32"/>
          <w:sz w:val="20"/>
          <w:szCs w:val="18"/>
          <w:lang w:val="fr-CH"/>
        </w:rPr>
        <w:t>Etiquetage des aliments pour animaux non conformes</w:t>
      </w:r>
    </w:p>
    <w:p w14:paraId="50360393" w14:textId="77777777" w:rsidR="00D817FA" w:rsidRPr="00D817FA" w:rsidRDefault="00D817FA" w:rsidP="00D817FA">
      <w:pPr>
        <w:tabs>
          <w:tab w:val="left" w:pos="7371"/>
        </w:tabs>
        <w:spacing w:line="276" w:lineRule="auto"/>
        <w:ind w:left="0" w:firstLine="0"/>
        <w:jc w:val="both"/>
        <w:rPr>
          <w:rFonts w:eastAsia="Calibri" w:cs="Tahoma"/>
          <w:sz w:val="20"/>
          <w:lang w:val="fr-CH"/>
        </w:rPr>
      </w:pPr>
      <w:r w:rsidRPr="00D817FA">
        <w:rPr>
          <w:rFonts w:eastAsia="Calibri" w:cs="Tahoma"/>
          <w:sz w:val="20"/>
          <w:lang w:val="x-none"/>
        </w:rPr>
        <w:t>L’étiquetage des aliments pour animaux non conformes est soumis à des disposition</w:t>
      </w:r>
      <w:r w:rsidRPr="00D817FA">
        <w:rPr>
          <w:rFonts w:eastAsia="Calibri" w:cs="Tahoma"/>
          <w:sz w:val="20"/>
          <w:lang w:val="fr-CH"/>
        </w:rPr>
        <w:t>s</w:t>
      </w:r>
      <w:r w:rsidRPr="00D817FA">
        <w:rPr>
          <w:rFonts w:eastAsia="Calibri" w:cs="Tahoma"/>
          <w:sz w:val="20"/>
          <w:lang w:val="x-none"/>
        </w:rPr>
        <w:t xml:space="preserve"> spécifiques</w:t>
      </w:r>
      <w:r w:rsidRPr="00D817FA">
        <w:rPr>
          <w:rFonts w:eastAsia="Calibri" w:cs="Tahoma"/>
          <w:sz w:val="20"/>
          <w:lang w:val="fr-CH"/>
        </w:rPr>
        <w:t xml:space="preserve">. En particulier en ce qui concerne les aliments contaminés et les anciennes denrées alimentaires qui doivent être transformées. </w:t>
      </w:r>
    </w:p>
    <w:p w14:paraId="4334008F" w14:textId="77777777" w:rsidR="00D817FA" w:rsidRPr="00D817FA" w:rsidRDefault="00D817FA" w:rsidP="00D817FA">
      <w:pPr>
        <w:tabs>
          <w:tab w:val="left" w:pos="7371"/>
        </w:tabs>
        <w:spacing w:line="276" w:lineRule="auto"/>
        <w:ind w:left="0" w:firstLine="0"/>
        <w:jc w:val="both"/>
        <w:rPr>
          <w:rFonts w:eastAsia="Calibri" w:cs="Tahoma"/>
          <w:sz w:val="20"/>
          <w:lang w:val="fr-CH"/>
        </w:rPr>
      </w:pPr>
    </w:p>
    <w:p w14:paraId="3D0645D7" w14:textId="77777777" w:rsidR="00D817FA" w:rsidRPr="00D817FA" w:rsidRDefault="00D817FA" w:rsidP="00D817FA">
      <w:pPr>
        <w:numPr>
          <w:ilvl w:val="0"/>
          <w:numId w:val="1"/>
        </w:numPr>
        <w:tabs>
          <w:tab w:val="left" w:pos="7371"/>
        </w:tabs>
        <w:spacing w:line="276" w:lineRule="auto"/>
        <w:jc w:val="both"/>
        <w:rPr>
          <w:rFonts w:eastAsia="Calibri" w:cs="Tahoma"/>
          <w:sz w:val="20"/>
          <w:lang w:val="x-none"/>
        </w:rPr>
      </w:pPr>
      <w:r w:rsidRPr="00D817FA">
        <w:rPr>
          <w:rFonts w:eastAsia="Calibri" w:cs="Tahoma"/>
          <w:sz w:val="20"/>
          <w:lang w:val="fr-CH"/>
        </w:rPr>
        <w:t>L’étiquetage des aliments pour animaux non conformes sont reprise à l’a</w:t>
      </w:r>
      <w:r w:rsidRPr="00D817FA">
        <w:rPr>
          <w:rFonts w:eastAsia="Calibri" w:cs="Tahoma"/>
          <w:sz w:val="20"/>
          <w:lang w:val="x-none"/>
        </w:rPr>
        <w:t>nnexe 8.4</w:t>
      </w:r>
      <w:r w:rsidRPr="00D817FA">
        <w:rPr>
          <w:rFonts w:eastAsia="Calibri" w:cs="Tahoma"/>
          <w:sz w:val="20"/>
          <w:lang w:val="fr-CH"/>
        </w:rPr>
        <w:t xml:space="preserve"> OLALA</w:t>
      </w:r>
      <w:r w:rsidRPr="00D817FA">
        <w:rPr>
          <w:rFonts w:eastAsia="Calibri" w:cs="Tahoma"/>
          <w:sz w:val="20"/>
          <w:lang w:val="x-none"/>
        </w:rPr>
        <w:t xml:space="preserve">. </w:t>
      </w:r>
    </w:p>
    <w:p w14:paraId="34B2256B" w14:textId="77777777" w:rsidR="00D817FA" w:rsidRPr="00D817FA" w:rsidRDefault="00D817FA" w:rsidP="00D817FA">
      <w:pPr>
        <w:spacing w:line="276" w:lineRule="auto"/>
        <w:ind w:left="0" w:firstLine="0"/>
        <w:jc w:val="both"/>
        <w:rPr>
          <w:rFonts w:eastAsia="Calibri" w:cs="Times New Roman"/>
          <w:sz w:val="18"/>
          <w:lang w:val="x-none"/>
        </w:rPr>
      </w:pPr>
    </w:p>
    <w:p w14:paraId="31524B52" w14:textId="77777777" w:rsidR="00D817FA" w:rsidRPr="00D817FA" w:rsidRDefault="00D817FA" w:rsidP="00D817FA">
      <w:pPr>
        <w:spacing w:line="276" w:lineRule="auto"/>
        <w:ind w:left="0" w:firstLine="0"/>
        <w:jc w:val="both"/>
        <w:outlineLvl w:val="1"/>
        <w:rPr>
          <w:rFonts w:eastAsia="Calibri" w:cs="Tahoma"/>
          <w:b/>
          <w:color w:val="A01E32"/>
          <w:sz w:val="24"/>
          <w:lang w:val="fr-CH"/>
        </w:rPr>
      </w:pPr>
      <w:r w:rsidRPr="00D817FA">
        <w:rPr>
          <w:rFonts w:eastAsia="Calibri" w:cs="Tahoma"/>
          <w:b/>
          <w:color w:val="A01E32"/>
          <w:sz w:val="24"/>
          <w:lang w:val="fr-CH"/>
        </w:rPr>
        <w:t>Aliments pour animaux importés</w:t>
      </w:r>
    </w:p>
    <w:p w14:paraId="3D204D46" w14:textId="77777777" w:rsidR="00D817FA" w:rsidRPr="00D817FA" w:rsidRDefault="00D817FA" w:rsidP="00D817FA">
      <w:pPr>
        <w:spacing w:line="276" w:lineRule="auto"/>
        <w:ind w:left="0" w:firstLine="0"/>
        <w:jc w:val="both"/>
        <w:rPr>
          <w:rFonts w:eastAsia="Calibri" w:cs="Times New Roman"/>
          <w:sz w:val="20"/>
          <w:szCs w:val="24"/>
          <w:lang w:val="fr-CH"/>
        </w:rPr>
      </w:pPr>
      <w:r w:rsidRPr="00D817FA">
        <w:rPr>
          <w:rFonts w:eastAsia="Calibri" w:cs="Times New Roman"/>
          <w:sz w:val="20"/>
          <w:szCs w:val="24"/>
          <w:lang w:val="x-none"/>
        </w:rPr>
        <w:t>Les aliments pour animaux importés sont soumis aux règles générales d'étiquetage</w:t>
      </w:r>
      <w:r w:rsidRPr="00D817FA">
        <w:rPr>
          <w:rFonts w:eastAsia="Calibri" w:cs="Times New Roman"/>
          <w:sz w:val="20"/>
          <w:szCs w:val="24"/>
          <w:lang w:val="fr-CH"/>
        </w:rPr>
        <w:t xml:space="preserve">. Le présent chapitre reprends quelques précisions compte tenu de la diversité du marché. </w:t>
      </w:r>
    </w:p>
    <w:p w14:paraId="1B415105" w14:textId="77777777" w:rsidR="00D817FA" w:rsidRPr="00D817FA" w:rsidRDefault="00D817FA" w:rsidP="00D817FA">
      <w:pPr>
        <w:spacing w:line="276" w:lineRule="auto"/>
        <w:ind w:left="0" w:firstLine="0"/>
        <w:jc w:val="both"/>
        <w:rPr>
          <w:rFonts w:eastAsia="Calibri" w:cs="Times New Roman"/>
          <w:sz w:val="20"/>
          <w:szCs w:val="24"/>
          <w:lang w:val="fr-CH"/>
        </w:rPr>
      </w:pPr>
    </w:p>
    <w:p w14:paraId="33CDF772" w14:textId="77777777" w:rsidR="00D817FA" w:rsidRPr="00D817FA" w:rsidRDefault="00D817FA" w:rsidP="00D817FA">
      <w:pPr>
        <w:spacing w:line="276" w:lineRule="auto"/>
        <w:ind w:left="0" w:firstLine="0"/>
        <w:jc w:val="both"/>
        <w:outlineLvl w:val="0"/>
        <w:rPr>
          <w:rFonts w:eastAsia="Calibri" w:cs="Tahoma"/>
          <w:b/>
          <w:bCs/>
          <w:color w:val="A01E32"/>
          <w:sz w:val="36"/>
          <w:lang w:val="fr-CH"/>
        </w:rPr>
      </w:pPr>
      <w:bookmarkStart w:id="3" w:name="_Toc162435713"/>
      <w:r w:rsidRPr="00D817FA">
        <w:rPr>
          <w:rFonts w:eastAsia="Calibri" w:cs="Tahoma"/>
          <w:b/>
          <w:bCs/>
          <w:color w:val="A01E32"/>
          <w:sz w:val="36"/>
          <w:lang w:val="fr-CH"/>
        </w:rPr>
        <w:t>Abrogation et délais transitoires</w:t>
      </w:r>
      <w:bookmarkEnd w:id="3"/>
    </w:p>
    <w:p w14:paraId="7F9AA6F4" w14:textId="77777777" w:rsidR="00D817FA" w:rsidRPr="00D817FA" w:rsidRDefault="00D817FA" w:rsidP="00D817FA">
      <w:pPr>
        <w:tabs>
          <w:tab w:val="left" w:pos="7371"/>
        </w:tabs>
        <w:spacing w:line="276" w:lineRule="auto"/>
        <w:ind w:left="0" w:firstLine="0"/>
        <w:jc w:val="both"/>
        <w:rPr>
          <w:rFonts w:eastAsia="Calibri" w:cs="Tahoma"/>
          <w:sz w:val="20"/>
          <w:lang w:val="fr-CH"/>
        </w:rPr>
      </w:pPr>
      <w:r w:rsidRPr="00D817FA">
        <w:rPr>
          <w:rFonts w:eastAsia="Calibri" w:cs="Tahoma"/>
          <w:sz w:val="20"/>
          <w:lang w:val="fr-CH"/>
        </w:rPr>
        <w:t xml:space="preserve">Il est important de remarquer que toutes les prescriptions et tous les allègements permettant de simplifier le travail des entreprises de l'alimentation animale et leurs responsables peuvent être abrogées par l’OFAG sans modification des ordonnances. </w:t>
      </w:r>
    </w:p>
    <w:p w14:paraId="6B03D6F9" w14:textId="0705558D" w:rsidR="00D817FA" w:rsidRPr="00D817FA" w:rsidRDefault="00D817FA" w:rsidP="00D817FA">
      <w:pPr>
        <w:tabs>
          <w:tab w:val="left" w:pos="7371"/>
        </w:tabs>
        <w:spacing w:line="276" w:lineRule="auto"/>
        <w:ind w:left="0" w:firstLine="0"/>
        <w:jc w:val="both"/>
        <w:rPr>
          <w:rFonts w:eastAsia="Calibri" w:cs="Tahoma"/>
          <w:sz w:val="20"/>
          <w:lang w:val="fr-CH"/>
        </w:rPr>
      </w:pPr>
      <w:r w:rsidRPr="00D817FA">
        <w:rPr>
          <w:rFonts w:eastAsia="Calibri" w:cs="Tahoma"/>
          <w:sz w:val="20"/>
          <w:lang w:val="fr-CH"/>
        </w:rPr>
        <w:t xml:space="preserve">Les allègements suivants </w:t>
      </w:r>
      <w:r w:rsidR="00937BD1">
        <w:rPr>
          <w:rFonts w:eastAsia="Calibri" w:cs="Tahoma"/>
          <w:sz w:val="20"/>
          <w:lang w:val="fr-CH"/>
        </w:rPr>
        <w:t>ne correspondaient plus aux exigences de transparence ou ont fait</w:t>
      </w:r>
      <w:r w:rsidR="001042BF">
        <w:rPr>
          <w:rFonts w:eastAsia="Calibri" w:cs="Tahoma"/>
          <w:sz w:val="20"/>
          <w:lang w:val="fr-CH"/>
        </w:rPr>
        <w:t xml:space="preserve"> </w:t>
      </w:r>
      <w:r w:rsidR="00937BD1">
        <w:rPr>
          <w:rFonts w:eastAsia="Calibri" w:cs="Tahoma"/>
          <w:sz w:val="20"/>
          <w:lang w:val="fr-CH"/>
        </w:rPr>
        <w:t>l’objet</w:t>
      </w:r>
      <w:r w:rsidRPr="00D817FA">
        <w:rPr>
          <w:rFonts w:eastAsia="Calibri" w:cs="Tahoma"/>
          <w:sz w:val="20"/>
          <w:lang w:val="fr-CH"/>
        </w:rPr>
        <w:t xml:space="preserve"> </w:t>
      </w:r>
      <w:r w:rsidR="00937BD1">
        <w:rPr>
          <w:rFonts w:eastAsia="Calibri" w:cs="Tahoma"/>
          <w:sz w:val="20"/>
          <w:lang w:val="fr-CH"/>
        </w:rPr>
        <w:t>d’</w:t>
      </w:r>
      <w:r w:rsidRPr="00D817FA">
        <w:rPr>
          <w:rFonts w:eastAsia="Calibri" w:cs="Tahoma"/>
          <w:sz w:val="20"/>
          <w:lang w:val="fr-CH"/>
        </w:rPr>
        <w:t>utilisations excessives et indésirable</w:t>
      </w:r>
      <w:r w:rsidR="00937BD1">
        <w:rPr>
          <w:rFonts w:eastAsia="Calibri" w:cs="Tahoma"/>
          <w:sz w:val="20"/>
          <w:lang w:val="fr-CH"/>
        </w:rPr>
        <w:t>s</w:t>
      </w:r>
      <w:r w:rsidRPr="00D817FA">
        <w:rPr>
          <w:rFonts w:eastAsia="Calibri" w:cs="Tahoma"/>
          <w:sz w:val="20"/>
          <w:lang w:val="fr-CH"/>
        </w:rPr>
        <w:t xml:space="preserve"> pour contourner la loi. Par conséquent, il</w:t>
      </w:r>
      <w:r w:rsidR="00937BD1">
        <w:rPr>
          <w:rFonts w:eastAsia="Calibri" w:cs="Tahoma"/>
          <w:sz w:val="20"/>
          <w:lang w:val="fr-CH"/>
        </w:rPr>
        <w:t>s</w:t>
      </w:r>
      <w:r w:rsidRPr="00D817FA">
        <w:rPr>
          <w:rFonts w:eastAsia="Calibri" w:cs="Tahoma"/>
          <w:sz w:val="20"/>
          <w:lang w:val="fr-CH"/>
        </w:rPr>
        <w:t xml:space="preserve"> </w:t>
      </w:r>
      <w:r w:rsidR="00937BD1">
        <w:rPr>
          <w:rFonts w:eastAsia="Calibri" w:cs="Tahoma"/>
          <w:sz w:val="20"/>
          <w:lang w:val="fr-CH"/>
        </w:rPr>
        <w:t>sont</w:t>
      </w:r>
      <w:r w:rsidRPr="00D817FA">
        <w:rPr>
          <w:rFonts w:eastAsia="Calibri" w:cs="Tahoma"/>
          <w:sz w:val="20"/>
          <w:lang w:val="fr-CH"/>
        </w:rPr>
        <w:t xml:space="preserve"> </w:t>
      </w:r>
      <w:r w:rsidR="00937BD1" w:rsidRPr="00D817FA">
        <w:rPr>
          <w:rFonts w:eastAsia="Calibri" w:cs="Tahoma"/>
          <w:sz w:val="20"/>
          <w:lang w:val="fr-CH"/>
        </w:rPr>
        <w:t>abrog</w:t>
      </w:r>
      <w:r w:rsidR="00937BD1">
        <w:rPr>
          <w:rFonts w:eastAsia="Calibri" w:cs="Tahoma"/>
          <w:sz w:val="20"/>
          <w:lang w:val="fr-CH"/>
        </w:rPr>
        <w:t>és</w:t>
      </w:r>
      <w:r w:rsidR="00FC423D">
        <w:rPr>
          <w:rFonts w:eastAsia="Calibri" w:cs="Tahoma"/>
          <w:sz w:val="20"/>
          <w:lang w:val="fr-CH"/>
        </w:rPr>
        <w:t>. D</w:t>
      </w:r>
      <w:r w:rsidRPr="00D817FA">
        <w:rPr>
          <w:rFonts w:eastAsia="Calibri" w:cs="Tahoma"/>
          <w:sz w:val="20"/>
          <w:lang w:val="fr-CH"/>
        </w:rPr>
        <w:t xml:space="preserve">es mesures transitoires sont </w:t>
      </w:r>
      <w:r w:rsidR="00937BD1">
        <w:rPr>
          <w:rFonts w:eastAsia="Calibri" w:cs="Tahoma"/>
          <w:sz w:val="20"/>
          <w:lang w:val="fr-CH"/>
        </w:rPr>
        <w:t>prévues</w:t>
      </w:r>
      <w:r w:rsidRPr="00D817FA">
        <w:rPr>
          <w:rFonts w:eastAsia="Calibri" w:cs="Tahoma"/>
          <w:sz w:val="20"/>
          <w:lang w:val="fr-CH"/>
        </w:rPr>
        <w:t xml:space="preserve">. </w:t>
      </w:r>
    </w:p>
    <w:p w14:paraId="0D5B03E0" w14:textId="77777777" w:rsidR="00D817FA" w:rsidRPr="00D817FA" w:rsidRDefault="00D817FA" w:rsidP="00D817FA">
      <w:pPr>
        <w:tabs>
          <w:tab w:val="left" w:pos="7371"/>
        </w:tabs>
        <w:spacing w:line="276" w:lineRule="auto"/>
        <w:ind w:left="0" w:firstLine="0"/>
        <w:jc w:val="both"/>
        <w:rPr>
          <w:rFonts w:eastAsia="Calibri" w:cs="Tahoma"/>
          <w:sz w:val="20"/>
          <w:lang w:val="fr-CH"/>
        </w:rPr>
      </w:pPr>
    </w:p>
    <w:p w14:paraId="77B04DC3" w14:textId="77777777" w:rsidR="00D817FA" w:rsidRPr="00D817FA" w:rsidRDefault="00D817FA" w:rsidP="00D817FA">
      <w:pPr>
        <w:spacing w:line="276" w:lineRule="auto"/>
        <w:ind w:left="0" w:firstLine="0"/>
        <w:jc w:val="both"/>
        <w:outlineLvl w:val="1"/>
        <w:rPr>
          <w:rFonts w:eastAsia="Calibri" w:cs="Tahoma"/>
          <w:b/>
          <w:color w:val="A01E32"/>
          <w:sz w:val="24"/>
          <w:lang w:val="fr-CH"/>
        </w:rPr>
      </w:pPr>
      <w:r w:rsidRPr="00D817FA">
        <w:rPr>
          <w:rFonts w:eastAsia="Calibri" w:cs="Tahoma"/>
          <w:b/>
          <w:color w:val="A01E32"/>
          <w:sz w:val="24"/>
          <w:lang w:val="fr-CH"/>
        </w:rPr>
        <w:t xml:space="preserve">Allègement concernant l’étiquetage des enzymes et micro-organismes </w:t>
      </w:r>
    </w:p>
    <w:p w14:paraId="41A4242E" w14:textId="1B40E5D7" w:rsidR="00D817FA" w:rsidRPr="00D817FA" w:rsidRDefault="00D817FA" w:rsidP="00D817FA">
      <w:pPr>
        <w:tabs>
          <w:tab w:val="left" w:pos="7371"/>
        </w:tabs>
        <w:spacing w:line="276" w:lineRule="auto"/>
        <w:ind w:left="0" w:firstLine="0"/>
        <w:jc w:val="both"/>
        <w:rPr>
          <w:rFonts w:eastAsia="Calibri" w:cs="Tahoma"/>
          <w:sz w:val="20"/>
          <w:lang w:val="fr-CH"/>
        </w:rPr>
      </w:pPr>
      <w:bookmarkStart w:id="4" w:name="_Hlk163569619"/>
      <w:r w:rsidRPr="00D817FA">
        <w:rPr>
          <w:rFonts w:eastAsia="Calibri" w:cs="Tahoma"/>
          <w:sz w:val="20"/>
          <w:lang w:val="fr-CH"/>
        </w:rPr>
        <w:t xml:space="preserve">L’allègement permettant de simplifier l’étiquetage des enzymes et des micro-organismes par leur nom de marque au lieu de leur nom spécifique </w:t>
      </w:r>
      <w:r w:rsidRPr="00D817FA">
        <w:rPr>
          <w:rFonts w:eastAsia="Calibri" w:cs="Tahoma"/>
          <w:b/>
          <w:bCs/>
          <w:sz w:val="20"/>
          <w:lang w:val="fr-CH"/>
        </w:rPr>
        <w:t>a été</w:t>
      </w:r>
      <w:r w:rsidRPr="00D817FA">
        <w:rPr>
          <w:rFonts w:eastAsia="Calibri" w:cs="Tahoma"/>
          <w:sz w:val="20"/>
          <w:lang w:val="fr-CH"/>
        </w:rPr>
        <w:t xml:space="preserve"> </w:t>
      </w:r>
      <w:r w:rsidRPr="00D817FA">
        <w:rPr>
          <w:rFonts w:eastAsia="Calibri" w:cs="Tahoma"/>
          <w:b/>
          <w:bCs/>
          <w:sz w:val="20"/>
          <w:lang w:val="fr-CH"/>
        </w:rPr>
        <w:t>abrogé</w:t>
      </w:r>
      <w:r w:rsidRPr="00D817FA">
        <w:rPr>
          <w:rFonts w:eastAsia="Calibri" w:cs="Tahoma"/>
          <w:sz w:val="20"/>
          <w:lang w:val="fr-CH"/>
        </w:rPr>
        <w:t xml:space="preserve">. Il simplifiait en effet le travail des fabricants d’aliments pour animaux, mais ne permettait pas à l’utilisateur final </w:t>
      </w:r>
      <w:r w:rsidR="001042BF">
        <w:rPr>
          <w:rFonts w:eastAsia="Calibri" w:cs="Tahoma"/>
          <w:sz w:val="20"/>
          <w:lang w:val="fr-CH"/>
        </w:rPr>
        <w:t xml:space="preserve">et à l’autorité de contrôle </w:t>
      </w:r>
      <w:r w:rsidRPr="00D817FA">
        <w:rPr>
          <w:rFonts w:eastAsia="Calibri" w:cs="Tahoma"/>
          <w:sz w:val="20"/>
          <w:lang w:val="fr-CH"/>
        </w:rPr>
        <w:t xml:space="preserve">de connaitre la teneur effective en additif. </w:t>
      </w:r>
    </w:p>
    <w:bookmarkEnd w:id="4"/>
    <w:p w14:paraId="510CD9BE" w14:textId="77777777" w:rsidR="00D817FA" w:rsidRPr="00D817FA" w:rsidRDefault="00D817FA" w:rsidP="00D817FA">
      <w:pPr>
        <w:tabs>
          <w:tab w:val="left" w:pos="7371"/>
        </w:tabs>
        <w:spacing w:line="276" w:lineRule="auto"/>
        <w:ind w:left="0" w:firstLine="0"/>
        <w:jc w:val="both"/>
        <w:rPr>
          <w:rFonts w:eastAsia="Calibri" w:cs="Tahoma"/>
          <w:sz w:val="20"/>
          <w:lang w:val="fr-CH"/>
        </w:rPr>
      </w:pPr>
    </w:p>
    <w:p w14:paraId="750A307A" w14:textId="77777777" w:rsidR="00D817FA" w:rsidRPr="00D817FA" w:rsidRDefault="00D817FA" w:rsidP="00D817FA">
      <w:pPr>
        <w:numPr>
          <w:ilvl w:val="0"/>
          <w:numId w:val="1"/>
        </w:numPr>
        <w:tabs>
          <w:tab w:val="left" w:pos="7371"/>
        </w:tabs>
        <w:spacing w:line="276" w:lineRule="auto"/>
        <w:jc w:val="both"/>
        <w:rPr>
          <w:rFonts w:eastAsia="Calibri" w:cs="Tahoma"/>
          <w:sz w:val="20"/>
          <w:lang w:val="fr-CH"/>
        </w:rPr>
      </w:pPr>
      <w:r w:rsidRPr="00D817FA">
        <w:rPr>
          <w:rFonts w:eastAsia="Calibri" w:cs="Tahoma"/>
          <w:sz w:val="20"/>
          <w:lang w:val="fr-CH"/>
        </w:rPr>
        <w:t>Les enzymes et micro-organismes doivent être étiquetés selon les indications mentionnées à l’annexe OLALA 8.5 et selon les dispositions relatives aux additifs (OLALA annexe 2, listes d’additifs 2.4a, 2.4b, 2.4c, 2.4d, 2.4e et 2.5).</w:t>
      </w:r>
    </w:p>
    <w:p w14:paraId="22F2AC16" w14:textId="77777777" w:rsidR="00D817FA" w:rsidRPr="00D817FA" w:rsidRDefault="00D817FA" w:rsidP="00D817FA">
      <w:pPr>
        <w:tabs>
          <w:tab w:val="left" w:pos="7371"/>
        </w:tabs>
        <w:spacing w:line="276" w:lineRule="auto"/>
        <w:ind w:left="720" w:firstLine="0"/>
        <w:jc w:val="both"/>
        <w:rPr>
          <w:rFonts w:eastAsia="Calibri" w:cs="Tahoma"/>
          <w:sz w:val="20"/>
          <w:lang w:val="fr-CH"/>
        </w:rPr>
      </w:pPr>
    </w:p>
    <w:p w14:paraId="52C093E5" w14:textId="77777777" w:rsidR="00D817FA" w:rsidRPr="00D817FA" w:rsidRDefault="00D817FA" w:rsidP="00D817FA">
      <w:pPr>
        <w:spacing w:line="276" w:lineRule="auto"/>
        <w:ind w:left="0" w:firstLine="0"/>
        <w:jc w:val="both"/>
        <w:outlineLvl w:val="2"/>
        <w:rPr>
          <w:rFonts w:eastAsia="Calibri" w:cs="Tahoma"/>
          <w:b/>
          <w:color w:val="A01E32"/>
          <w:sz w:val="20"/>
          <w:lang w:val="fr-CH"/>
        </w:rPr>
      </w:pPr>
      <w:bookmarkStart w:id="5" w:name="_Hlk162443158"/>
      <w:r w:rsidRPr="00D817FA">
        <w:rPr>
          <w:rFonts w:eastAsia="Calibri" w:cs="Tahoma"/>
          <w:b/>
          <w:color w:val="A01E32"/>
          <w:sz w:val="20"/>
          <w:lang w:val="fr-CH"/>
        </w:rPr>
        <w:t xml:space="preserve">Délai transitoire </w:t>
      </w:r>
    </w:p>
    <w:p w14:paraId="40F6921B" w14:textId="78C7536F" w:rsidR="00D817FA" w:rsidRPr="00D817FA" w:rsidRDefault="001042BF" w:rsidP="00D817FA">
      <w:pPr>
        <w:tabs>
          <w:tab w:val="left" w:pos="7371"/>
        </w:tabs>
        <w:spacing w:line="276" w:lineRule="auto"/>
        <w:ind w:left="0" w:firstLine="0"/>
        <w:jc w:val="both"/>
        <w:rPr>
          <w:rFonts w:eastAsia="Calibri" w:cs="Tahoma"/>
          <w:sz w:val="20"/>
          <w:lang w:val="fr-CH"/>
        </w:rPr>
      </w:pPr>
      <w:r w:rsidRPr="00B33803">
        <w:rPr>
          <w:rFonts w:eastAsia="Calibri" w:cs="Tahoma"/>
          <w:sz w:val="20"/>
          <w:lang w:val="fr-CH"/>
        </w:rPr>
        <w:t xml:space="preserve">Les aliments composés et les matières premières contenant des additifs concernés </w:t>
      </w:r>
      <w:r w:rsidR="00937BD1" w:rsidRPr="00B33803">
        <w:rPr>
          <w:rFonts w:eastAsia="Calibri" w:cs="Tahoma"/>
          <w:sz w:val="20"/>
          <w:lang w:val="fr-CH"/>
        </w:rPr>
        <w:t xml:space="preserve">par les nouvelles directives </w:t>
      </w:r>
      <w:r w:rsidR="00937BD1">
        <w:rPr>
          <w:rFonts w:eastAsia="Calibri" w:cs="Tahoma"/>
          <w:sz w:val="20"/>
          <w:lang w:val="fr-CH"/>
        </w:rPr>
        <w:t xml:space="preserve">et fabriqués avant </w:t>
      </w:r>
      <w:r w:rsidR="00A4095D">
        <w:rPr>
          <w:rFonts w:eastAsia="Calibri" w:cs="Tahoma"/>
          <w:sz w:val="20"/>
          <w:lang w:val="fr-CH"/>
        </w:rPr>
        <w:t>mars 2025</w:t>
      </w:r>
      <w:r w:rsidR="00D817FA" w:rsidRPr="00D817FA">
        <w:rPr>
          <w:rFonts w:eastAsia="Calibri" w:cs="Tahoma"/>
          <w:sz w:val="20"/>
          <w:lang w:val="fr-CH"/>
        </w:rPr>
        <w:t xml:space="preserve"> </w:t>
      </w:r>
      <w:r w:rsidR="00937BD1" w:rsidRPr="00937BD1">
        <w:rPr>
          <w:rFonts w:eastAsia="Calibri" w:cs="Tahoma"/>
          <w:sz w:val="20"/>
          <w:lang w:val="fr-CH"/>
        </w:rPr>
        <w:t>peuvent continuer à être mis en circulation et utilisés jusqu'à épuisement des stocks existants.</w:t>
      </w:r>
      <w:r w:rsidR="00D817FA" w:rsidRPr="00D817FA">
        <w:rPr>
          <w:rFonts w:eastAsia="Calibri" w:cs="Tahoma"/>
          <w:sz w:val="20"/>
          <w:lang w:val="fr-CH"/>
        </w:rPr>
        <w:t xml:space="preserve"> </w:t>
      </w:r>
    </w:p>
    <w:bookmarkEnd w:id="5"/>
    <w:p w14:paraId="4E4FEE73" w14:textId="77777777" w:rsidR="00D817FA" w:rsidRPr="00D817FA" w:rsidRDefault="00D817FA" w:rsidP="00D817FA">
      <w:pPr>
        <w:spacing w:line="276" w:lineRule="auto"/>
        <w:ind w:left="0" w:firstLine="0"/>
        <w:jc w:val="both"/>
        <w:rPr>
          <w:rFonts w:eastAsia="Calibri" w:cs="Times New Roman"/>
          <w:sz w:val="18"/>
          <w:lang w:val="fr-CH"/>
        </w:rPr>
      </w:pPr>
    </w:p>
    <w:p w14:paraId="6B7B870B" w14:textId="77777777" w:rsidR="00D817FA" w:rsidRPr="00D817FA" w:rsidRDefault="00D817FA" w:rsidP="00D817FA">
      <w:pPr>
        <w:spacing w:before="240" w:line="276" w:lineRule="auto"/>
        <w:ind w:left="0" w:firstLine="0"/>
        <w:jc w:val="both"/>
        <w:outlineLvl w:val="1"/>
        <w:rPr>
          <w:rFonts w:eastAsia="Calibri" w:cs="Tahoma"/>
          <w:b/>
          <w:color w:val="A01E32"/>
          <w:sz w:val="20"/>
          <w:szCs w:val="18"/>
          <w:lang w:val="fr-CH"/>
        </w:rPr>
      </w:pPr>
      <w:r w:rsidRPr="00D817FA">
        <w:rPr>
          <w:rFonts w:eastAsia="Calibri" w:cs="Tahoma"/>
          <w:b/>
          <w:color w:val="A01E32"/>
          <w:sz w:val="24"/>
          <w:lang w:val="fr-CH"/>
        </w:rPr>
        <w:t xml:space="preserve">Allègement concernant l’étiquetage des aliments « avec adjonction » </w:t>
      </w:r>
    </w:p>
    <w:p w14:paraId="7CF8A5F5" w14:textId="77777777" w:rsidR="00D817FA" w:rsidRPr="00D817FA" w:rsidRDefault="00D817FA" w:rsidP="00D817FA">
      <w:pPr>
        <w:tabs>
          <w:tab w:val="left" w:pos="7371"/>
        </w:tabs>
        <w:spacing w:line="276" w:lineRule="auto"/>
        <w:ind w:left="0" w:firstLine="0"/>
        <w:jc w:val="both"/>
        <w:rPr>
          <w:rFonts w:eastAsia="Calibri" w:cs="Tahoma"/>
          <w:sz w:val="20"/>
          <w:lang w:val="fr-CH"/>
        </w:rPr>
      </w:pPr>
      <w:r w:rsidRPr="00D817FA">
        <w:rPr>
          <w:rFonts w:eastAsia="Calibri" w:cs="Tahoma"/>
          <w:sz w:val="20"/>
          <w:lang w:val="fr-CH"/>
        </w:rPr>
        <w:t xml:space="preserve">L’allègement permettant de simplifier l’étiquetage des formules « standard » auxquelles d’autre(s) composant(s) ont été ajoutés </w:t>
      </w:r>
      <w:r w:rsidRPr="00D817FA">
        <w:rPr>
          <w:rFonts w:eastAsia="Calibri" w:cs="Tahoma"/>
          <w:b/>
          <w:bCs/>
          <w:sz w:val="20"/>
          <w:lang w:val="fr-CH"/>
        </w:rPr>
        <w:t>a été</w:t>
      </w:r>
      <w:r w:rsidRPr="00D817FA">
        <w:rPr>
          <w:rFonts w:eastAsia="Calibri" w:cs="Tahoma"/>
          <w:sz w:val="20"/>
          <w:lang w:val="fr-CH"/>
        </w:rPr>
        <w:t xml:space="preserve"> </w:t>
      </w:r>
      <w:r w:rsidRPr="00D817FA">
        <w:rPr>
          <w:rFonts w:eastAsia="Calibri" w:cs="Tahoma"/>
          <w:b/>
          <w:bCs/>
          <w:sz w:val="20"/>
          <w:lang w:val="fr-CH"/>
        </w:rPr>
        <w:t>abrogé</w:t>
      </w:r>
      <w:r w:rsidRPr="00D817FA">
        <w:rPr>
          <w:rFonts w:eastAsia="Calibri" w:cs="Tahoma"/>
          <w:sz w:val="20"/>
          <w:lang w:val="fr-CH"/>
        </w:rPr>
        <w:t xml:space="preserve">. </w:t>
      </w:r>
    </w:p>
    <w:p w14:paraId="6A0396AC" w14:textId="77777777" w:rsidR="00D817FA" w:rsidRPr="00D817FA" w:rsidRDefault="00D817FA" w:rsidP="00D817FA">
      <w:pPr>
        <w:tabs>
          <w:tab w:val="left" w:pos="7371"/>
        </w:tabs>
        <w:spacing w:line="276" w:lineRule="auto"/>
        <w:ind w:left="0" w:firstLine="0"/>
        <w:jc w:val="both"/>
        <w:rPr>
          <w:rFonts w:eastAsia="Calibri" w:cs="Tahoma"/>
          <w:sz w:val="20"/>
          <w:highlight w:val="yellow"/>
          <w:lang w:val="fr-CH"/>
        </w:rPr>
      </w:pPr>
      <w:r w:rsidRPr="00D817FA">
        <w:rPr>
          <w:rFonts w:eastAsia="Calibri" w:cs="Tahoma"/>
          <w:sz w:val="20"/>
          <w:highlight w:val="yellow"/>
          <w:lang w:val="fr-CH"/>
        </w:rPr>
        <w:t xml:space="preserve"> </w:t>
      </w:r>
    </w:p>
    <w:p w14:paraId="26B82944" w14:textId="77777777" w:rsidR="00D817FA" w:rsidRPr="00D817FA" w:rsidRDefault="00D817FA" w:rsidP="00D817FA">
      <w:pPr>
        <w:numPr>
          <w:ilvl w:val="0"/>
          <w:numId w:val="1"/>
        </w:numPr>
        <w:tabs>
          <w:tab w:val="left" w:pos="7371"/>
        </w:tabs>
        <w:spacing w:line="276" w:lineRule="auto"/>
        <w:jc w:val="both"/>
        <w:rPr>
          <w:rFonts w:eastAsia="Calibri" w:cs="Tahoma"/>
          <w:sz w:val="20"/>
          <w:lang w:val="fr-CH"/>
        </w:rPr>
      </w:pPr>
      <w:r w:rsidRPr="00D817FA">
        <w:rPr>
          <w:rFonts w:eastAsia="Calibri" w:cs="Tahoma"/>
          <w:sz w:val="20"/>
          <w:lang w:val="fr-CH"/>
        </w:rPr>
        <w:lastRenderedPageBreak/>
        <w:t xml:space="preserve">Les aliments avec adjonction doivent être étiquetés conformément aux exigences légales. Les matières premières et/ou les additifs ajoutés doivent figurer conformément aux exigences concernant l’étiquetage et les teneurs doivent respecter les tolérances.   </w:t>
      </w:r>
    </w:p>
    <w:p w14:paraId="0213D4F2" w14:textId="77777777" w:rsidR="00D817FA" w:rsidRPr="00D817FA" w:rsidRDefault="00D817FA" w:rsidP="00D817FA">
      <w:pPr>
        <w:tabs>
          <w:tab w:val="left" w:pos="7371"/>
        </w:tabs>
        <w:spacing w:line="276" w:lineRule="auto"/>
        <w:ind w:left="720" w:firstLine="0"/>
        <w:jc w:val="both"/>
        <w:rPr>
          <w:rFonts w:eastAsia="Calibri" w:cs="Tahoma"/>
          <w:sz w:val="20"/>
          <w:highlight w:val="yellow"/>
          <w:lang w:val="fr-CH"/>
        </w:rPr>
      </w:pPr>
    </w:p>
    <w:p w14:paraId="4DDD0714" w14:textId="77777777" w:rsidR="00D817FA" w:rsidRPr="00D817FA" w:rsidRDefault="00D817FA" w:rsidP="00D817FA">
      <w:pPr>
        <w:spacing w:line="276" w:lineRule="auto"/>
        <w:ind w:left="0" w:firstLine="0"/>
        <w:jc w:val="both"/>
        <w:outlineLvl w:val="2"/>
        <w:rPr>
          <w:rFonts w:eastAsia="Calibri" w:cs="Tahoma"/>
          <w:b/>
          <w:color w:val="A01E32"/>
          <w:sz w:val="20"/>
          <w:lang w:val="fr-CH"/>
        </w:rPr>
      </w:pPr>
      <w:r w:rsidRPr="00D817FA">
        <w:rPr>
          <w:rFonts w:eastAsia="Calibri" w:cs="Tahoma"/>
          <w:b/>
          <w:color w:val="A01E32"/>
          <w:sz w:val="20"/>
          <w:lang w:val="fr-CH"/>
        </w:rPr>
        <w:t xml:space="preserve">Délai transitoire </w:t>
      </w:r>
    </w:p>
    <w:p w14:paraId="336568D4" w14:textId="6386CDCC" w:rsidR="00D817FA" w:rsidRPr="00D817FA" w:rsidRDefault="00937BD1" w:rsidP="00D817FA">
      <w:pPr>
        <w:tabs>
          <w:tab w:val="left" w:pos="7371"/>
        </w:tabs>
        <w:spacing w:line="276" w:lineRule="auto"/>
        <w:ind w:left="0" w:firstLine="0"/>
        <w:jc w:val="both"/>
        <w:rPr>
          <w:rFonts w:eastAsia="Calibri" w:cs="Tahoma"/>
          <w:sz w:val="20"/>
          <w:lang w:val="fr-CH"/>
        </w:rPr>
      </w:pPr>
      <w:r w:rsidRPr="003A2BE1">
        <w:rPr>
          <w:rFonts w:eastAsia="Calibri" w:cs="Tahoma"/>
          <w:sz w:val="20"/>
          <w:lang w:val="fr-CH"/>
        </w:rPr>
        <w:t xml:space="preserve">Les aliments composés et les matières premières contenant des additifs concernés par les nouvelles directives </w:t>
      </w:r>
      <w:r>
        <w:rPr>
          <w:rFonts w:eastAsia="Calibri" w:cs="Tahoma"/>
          <w:sz w:val="20"/>
          <w:lang w:val="fr-CH"/>
        </w:rPr>
        <w:t>et fabriqués avant</w:t>
      </w:r>
      <w:r w:rsidR="00A4095D">
        <w:rPr>
          <w:rFonts w:eastAsia="Calibri" w:cs="Tahoma"/>
          <w:sz w:val="20"/>
          <w:lang w:val="fr-CH"/>
        </w:rPr>
        <w:t xml:space="preserve"> mars 2025</w:t>
      </w:r>
      <w:r w:rsidRPr="00D817FA">
        <w:rPr>
          <w:rFonts w:eastAsia="Calibri" w:cs="Tahoma"/>
          <w:sz w:val="20"/>
          <w:lang w:val="fr-CH"/>
        </w:rPr>
        <w:t xml:space="preserve"> </w:t>
      </w:r>
      <w:r w:rsidRPr="00937BD1">
        <w:rPr>
          <w:rFonts w:eastAsia="Calibri" w:cs="Tahoma"/>
          <w:sz w:val="20"/>
          <w:lang w:val="fr-CH"/>
        </w:rPr>
        <w:t>peuvent continuer à être mis en circulation et utilisés jusqu'à épuisement des stocks existants.</w:t>
      </w:r>
      <w:r w:rsidRPr="00D817FA">
        <w:rPr>
          <w:rFonts w:eastAsia="Calibri" w:cs="Tahoma"/>
          <w:sz w:val="20"/>
          <w:lang w:val="fr-CH"/>
        </w:rPr>
        <w:t xml:space="preserve"> </w:t>
      </w:r>
    </w:p>
    <w:p w14:paraId="132E753C" w14:textId="77777777" w:rsidR="00D817FA" w:rsidRPr="008E27D4" w:rsidRDefault="00D817FA" w:rsidP="00D817FA">
      <w:pPr>
        <w:spacing w:line="276" w:lineRule="auto"/>
        <w:ind w:left="0" w:firstLine="0"/>
        <w:rPr>
          <w:lang w:val="fr-CH"/>
        </w:rPr>
      </w:pPr>
    </w:p>
    <w:sectPr w:rsidR="00D817FA" w:rsidRPr="008E27D4" w:rsidSect="00F57F62">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62C17"/>
    <w:multiLevelType w:val="hybridMultilevel"/>
    <w:tmpl w:val="53BE0784"/>
    <w:lvl w:ilvl="0" w:tplc="94C83818">
      <w:start w:val="14"/>
      <w:numFmt w:val="bullet"/>
      <w:lvlText w:val=""/>
      <w:lvlJc w:val="left"/>
      <w:pPr>
        <w:ind w:left="720" w:hanging="360"/>
      </w:pPr>
      <w:rPr>
        <w:rFonts w:ascii="Wingdings" w:eastAsia="Calibri" w:hAnsi="Wingdings"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74"/>
    <w:rsid w:val="000E7A6B"/>
    <w:rsid w:val="001042BF"/>
    <w:rsid w:val="001063DD"/>
    <w:rsid w:val="001335D1"/>
    <w:rsid w:val="002061E4"/>
    <w:rsid w:val="00232046"/>
    <w:rsid w:val="00241DB3"/>
    <w:rsid w:val="0026039B"/>
    <w:rsid w:val="00261156"/>
    <w:rsid w:val="002813C5"/>
    <w:rsid w:val="00293D52"/>
    <w:rsid w:val="002A4D52"/>
    <w:rsid w:val="002D07E1"/>
    <w:rsid w:val="002E3D56"/>
    <w:rsid w:val="003053E8"/>
    <w:rsid w:val="003206CD"/>
    <w:rsid w:val="00325143"/>
    <w:rsid w:val="003637EA"/>
    <w:rsid w:val="00392350"/>
    <w:rsid w:val="003D52F8"/>
    <w:rsid w:val="004503EF"/>
    <w:rsid w:val="00474171"/>
    <w:rsid w:val="00474EED"/>
    <w:rsid w:val="004910AF"/>
    <w:rsid w:val="004B12B2"/>
    <w:rsid w:val="00524674"/>
    <w:rsid w:val="005B156F"/>
    <w:rsid w:val="005E6204"/>
    <w:rsid w:val="005F650A"/>
    <w:rsid w:val="00627969"/>
    <w:rsid w:val="00667EE4"/>
    <w:rsid w:val="006856C0"/>
    <w:rsid w:val="006C7499"/>
    <w:rsid w:val="007052D8"/>
    <w:rsid w:val="0073039B"/>
    <w:rsid w:val="00764AB7"/>
    <w:rsid w:val="007A60AD"/>
    <w:rsid w:val="007D10A6"/>
    <w:rsid w:val="007F62C3"/>
    <w:rsid w:val="007F645F"/>
    <w:rsid w:val="00835421"/>
    <w:rsid w:val="00866E93"/>
    <w:rsid w:val="008E27D4"/>
    <w:rsid w:val="008F4BFB"/>
    <w:rsid w:val="009027DD"/>
    <w:rsid w:val="00937BD1"/>
    <w:rsid w:val="00954086"/>
    <w:rsid w:val="009642A0"/>
    <w:rsid w:val="009837D2"/>
    <w:rsid w:val="009C78D0"/>
    <w:rsid w:val="009D4AE7"/>
    <w:rsid w:val="009E1D87"/>
    <w:rsid w:val="00A06A2B"/>
    <w:rsid w:val="00A10DD2"/>
    <w:rsid w:val="00A3009F"/>
    <w:rsid w:val="00A4095D"/>
    <w:rsid w:val="00A96D76"/>
    <w:rsid w:val="00B33803"/>
    <w:rsid w:val="00B36C9C"/>
    <w:rsid w:val="00B462B5"/>
    <w:rsid w:val="00B5311F"/>
    <w:rsid w:val="00B75D10"/>
    <w:rsid w:val="00B7687B"/>
    <w:rsid w:val="00B93E6C"/>
    <w:rsid w:val="00C54E8B"/>
    <w:rsid w:val="00C770C7"/>
    <w:rsid w:val="00CA062F"/>
    <w:rsid w:val="00CA746E"/>
    <w:rsid w:val="00CD2F5D"/>
    <w:rsid w:val="00D13C84"/>
    <w:rsid w:val="00D817FA"/>
    <w:rsid w:val="00D951D4"/>
    <w:rsid w:val="00DB0B66"/>
    <w:rsid w:val="00DB7FB7"/>
    <w:rsid w:val="00DC2012"/>
    <w:rsid w:val="00DD0F78"/>
    <w:rsid w:val="00E40519"/>
    <w:rsid w:val="00F13EC3"/>
    <w:rsid w:val="00F14EF4"/>
    <w:rsid w:val="00F21345"/>
    <w:rsid w:val="00F46405"/>
    <w:rsid w:val="00F57F62"/>
    <w:rsid w:val="00F81578"/>
    <w:rsid w:val="00FC423D"/>
    <w:rsid w:val="00FD49B6"/>
    <w:rsid w:val="00FF03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1DDF"/>
  <w15:chartTrackingRefBased/>
  <w15:docId w15:val="{0A9C2DCB-60C3-447E-8878-541253FF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6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60" w:lineRule="atLeast"/>
      <w:ind w:left="1321" w:hanging="357"/>
      <w:jc w:val="lef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17FA"/>
    <w:rPr>
      <w:color w:val="0563C1" w:themeColor="hyperlink"/>
      <w:u w:val="single"/>
    </w:rPr>
  </w:style>
  <w:style w:type="character" w:styleId="Mentionnonrsolue">
    <w:name w:val="Unresolved Mention"/>
    <w:basedOn w:val="Policepardfaut"/>
    <w:uiPriority w:val="99"/>
    <w:semiHidden/>
    <w:unhideWhenUsed/>
    <w:rsid w:val="00D817FA"/>
    <w:rPr>
      <w:color w:val="605E5C"/>
      <w:shd w:val="clear" w:color="auto" w:fill="E1DFDD"/>
    </w:rPr>
  </w:style>
  <w:style w:type="paragraph" w:styleId="Rvision">
    <w:name w:val="Revision"/>
    <w:hidden/>
    <w:uiPriority w:val="99"/>
    <w:semiHidden/>
    <w:rsid w:val="002813C5"/>
    <w:pPr>
      <w:spacing w:before="0" w:after="0"/>
      <w:jc w:val="left"/>
    </w:pPr>
    <w:rPr>
      <w:rFonts w:ascii="Arial" w:hAnsi="Arial" w:cs="Arial"/>
    </w:rPr>
  </w:style>
  <w:style w:type="character" w:styleId="Marquedecommentaire">
    <w:name w:val="annotation reference"/>
    <w:basedOn w:val="Policepardfaut"/>
    <w:uiPriority w:val="99"/>
    <w:semiHidden/>
    <w:unhideWhenUsed/>
    <w:rsid w:val="002813C5"/>
    <w:rPr>
      <w:sz w:val="16"/>
      <w:szCs w:val="16"/>
    </w:rPr>
  </w:style>
  <w:style w:type="paragraph" w:styleId="Commentaire">
    <w:name w:val="annotation text"/>
    <w:basedOn w:val="Normal"/>
    <w:link w:val="CommentaireCar"/>
    <w:uiPriority w:val="99"/>
    <w:unhideWhenUsed/>
    <w:rsid w:val="002813C5"/>
    <w:pPr>
      <w:spacing w:line="240" w:lineRule="auto"/>
    </w:pPr>
    <w:rPr>
      <w:sz w:val="20"/>
      <w:szCs w:val="20"/>
    </w:rPr>
  </w:style>
  <w:style w:type="character" w:customStyle="1" w:styleId="CommentaireCar">
    <w:name w:val="Commentaire Car"/>
    <w:basedOn w:val="Policepardfaut"/>
    <w:link w:val="Commentaire"/>
    <w:uiPriority w:val="99"/>
    <w:rsid w:val="002813C5"/>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2813C5"/>
    <w:rPr>
      <w:b/>
      <w:bCs/>
    </w:rPr>
  </w:style>
  <w:style w:type="character" w:customStyle="1" w:styleId="ObjetducommentaireCar">
    <w:name w:val="Objet du commentaire Car"/>
    <w:basedOn w:val="CommentaireCar"/>
    <w:link w:val="Objetducommentaire"/>
    <w:uiPriority w:val="99"/>
    <w:semiHidden/>
    <w:rsid w:val="002813C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5648</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Morgane AGROSCOPE</dc:creator>
  <cp:keywords/>
  <dc:description/>
  <cp:lastModifiedBy>Jacobs Morgane AGROSCOPE</cp:lastModifiedBy>
  <cp:revision>4</cp:revision>
  <dcterms:created xsi:type="dcterms:W3CDTF">2024-11-28T10:59:00Z</dcterms:created>
  <dcterms:modified xsi:type="dcterms:W3CDTF">2024-12-12T13:04:00Z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2024-07-22T13:55:46Z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fccf1f51-9c5f-47b9-b58f-b2930ed08303</vt:lpwstr>
  </property>
  <property fmtid="{D5CDD505-2E9C-101B-9397-08002B2CF9AE}" pid="8" name="MSIP_Label_245c3252-146d-46f3-8062-82cd8c8d7e7d_ContentBits">
    <vt:lpwstr>0</vt:lpwstr>
  </property>
</Properties>
</file>